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01" w:rsidRDefault="00707701" w:rsidP="00707701">
      <w:pPr>
        <w:spacing w:after="0" w:line="240" w:lineRule="auto"/>
        <w:ind w:left="-567" w:right="-660"/>
      </w:pPr>
      <w:r>
        <w:t xml:space="preserve">RESEÑA DE LA LECTURA </w:t>
      </w:r>
      <w:r w:rsidRPr="00707701">
        <w:t>La historia del currículum</w:t>
      </w:r>
    </w:p>
    <w:p w:rsidR="00BA3AD8" w:rsidRDefault="00707701" w:rsidP="00707701">
      <w:pPr>
        <w:spacing w:after="0" w:line="240" w:lineRule="auto"/>
        <w:ind w:left="-567" w:right="-660"/>
        <w:jc w:val="center"/>
      </w:pPr>
      <w:r w:rsidRPr="00707701">
        <w:t>La educación en los estados unidos a principios del siglo XX, como tesis cultural acerca de lo que el niño es y debe ser</w:t>
      </w:r>
    </w:p>
    <w:p w:rsidR="00707701" w:rsidRDefault="00707701" w:rsidP="00707701">
      <w:pPr>
        <w:spacing w:after="0" w:line="240" w:lineRule="auto"/>
        <w:ind w:left="-567" w:right="-660"/>
        <w:jc w:val="center"/>
      </w:pPr>
      <w:r>
        <w:t>(</w:t>
      </w:r>
      <w:r w:rsidRPr="00707701">
        <w:t xml:space="preserve">Thomas S. </w:t>
      </w:r>
      <w:proofErr w:type="spellStart"/>
      <w:r w:rsidRPr="00707701">
        <w:t>Popkewitz</w:t>
      </w:r>
      <w:proofErr w:type="spellEnd"/>
      <w:r>
        <w:t>)</w:t>
      </w:r>
    </w:p>
    <w:p w:rsidR="00707701" w:rsidRDefault="00707701" w:rsidP="00707701">
      <w:pPr>
        <w:spacing w:after="0" w:line="240" w:lineRule="auto"/>
        <w:ind w:left="-567" w:right="-660"/>
        <w:jc w:val="both"/>
      </w:pPr>
      <w:r>
        <w:t>INTRODUCCIÓN:</w:t>
      </w:r>
    </w:p>
    <w:p w:rsidR="00707701" w:rsidRDefault="00707701" w:rsidP="00707701">
      <w:pPr>
        <w:spacing w:after="0" w:line="240" w:lineRule="auto"/>
        <w:ind w:left="-567" w:right="-660"/>
        <w:jc w:val="both"/>
      </w:pPr>
      <w:r>
        <w:t>La escolarización encarna el proyecto de emancipación de la Ilustración oponiendo el ciudadano ilustrado al salvaje incivilizado.</w:t>
      </w: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Wagner (1994) plantea que la modernidad no se puede</w:t>
      </w:r>
      <w:r>
        <w:t xml:space="preserve"> escribir sólo</w:t>
      </w:r>
      <w:r w:rsidRPr="00707701">
        <w:t xml:space="preserve"> con los términos de incremento de autonomía y democracia, sino más bien en términos de cambiar las nociones sustantivas de autorrealización y el énfasis entre facilidades individuales y las cap</w:t>
      </w:r>
      <w:r>
        <w:t xml:space="preserve">acidades públicas y colectivas. </w:t>
      </w:r>
      <w:r w:rsidRPr="00707701">
        <w:t>Las ironías y paradojas de la modernidad se generan en las tesis culturales acerca de los modos de vida en la pedagogía.</w:t>
      </w:r>
    </w:p>
    <w:p w:rsidR="00707701" w:rsidRDefault="00707701" w:rsidP="00707701">
      <w:pPr>
        <w:spacing w:after="0" w:line="240" w:lineRule="auto"/>
        <w:ind w:left="-567" w:right="-660"/>
        <w:jc w:val="both"/>
      </w:pP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1. EL CURRÍCULUM Y LA DIRECCIÓN DE LO QUE ES Y DEBE SER EL NIÑO</w:t>
      </w: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El desarrollo de la educación pública de masas de finales del siglo XIX y de principios del siglo XX formaba parte de proyectos de reconstrucción nacional vinculados con movimientos políticos, comerciales y capitalistas.</w:t>
      </w:r>
    </w:p>
    <w:p w:rsidR="00C6742D" w:rsidRDefault="00C6742D" w:rsidP="00707701">
      <w:pPr>
        <w:spacing w:after="0" w:line="240" w:lineRule="auto"/>
        <w:ind w:left="-567" w:right="-660"/>
        <w:jc w:val="both"/>
      </w:pPr>
      <w:r>
        <w:t xml:space="preserve">La escuela era parte de la responsabilidad del Estado moderno que ejercía sobre este y otros ámbitos su deber de </w:t>
      </w:r>
      <w:r w:rsidRPr="00C6742D">
        <w:t>administración de la sociedad en nombre del bien común.</w:t>
      </w:r>
    </w:p>
    <w:p w:rsidR="00C6742D" w:rsidRDefault="00C6742D" w:rsidP="00707701">
      <w:pPr>
        <w:spacing w:after="0" w:line="240" w:lineRule="auto"/>
        <w:ind w:left="-567" w:right="-660"/>
        <w:jc w:val="both"/>
      </w:pPr>
      <w:r>
        <w:t xml:space="preserve">La salvación ya no era de carácter religioso-espiritual, sino </w:t>
      </w:r>
      <w:r w:rsidRPr="00C6742D">
        <w:t>transformación de los principios recto</w:t>
      </w:r>
      <w:r>
        <w:t>res de una democracia liberal por</w:t>
      </w:r>
      <w:r w:rsidRPr="00C6742D">
        <w:t xml:space="preserve"> la cual se pretendía que los ciudadanos participaran en la sociedad.</w:t>
      </w:r>
      <w:r>
        <w:t xml:space="preserve"> E</w:t>
      </w:r>
      <w:r w:rsidRPr="00C6742D">
        <w:t>l conocimiento pedagógico “moderno” tomó algunos puntos de vista religiosos acerca de la salvación y los combinó con disposiciones científicas acerca de cómo la verdad y el dominio personal debían perseguirse</w:t>
      </w:r>
      <w:r>
        <w:t>.</w:t>
      </w:r>
    </w:p>
    <w:p w:rsidR="00C6742D" w:rsidRDefault="00C6742D" w:rsidP="00707701">
      <w:pPr>
        <w:spacing w:after="0" w:line="240" w:lineRule="auto"/>
        <w:ind w:left="-567" w:right="-660"/>
        <w:jc w:val="both"/>
      </w:pPr>
      <w:r w:rsidRPr="00C6742D">
        <w:t>La historia de la educación secundaria en Francia, como planteara Durkheim</w:t>
      </w:r>
      <w:r>
        <w:t xml:space="preserve"> (1938/1977), podría leerse </w:t>
      </w:r>
      <w:r w:rsidRPr="00C6742D">
        <w:t>como la misión civilizadora de la escuela a través del cambio de sus tesis culturales acerca de los modos de vida que representan a una “sociedad ilustrada”</w:t>
      </w:r>
      <w:r>
        <w:t>.</w:t>
      </w:r>
    </w:p>
    <w:p w:rsidR="003663FF" w:rsidRDefault="003663FF" w:rsidP="00707701">
      <w:pPr>
        <w:spacing w:after="0" w:line="240" w:lineRule="auto"/>
        <w:ind w:left="-567" w:right="-660"/>
        <w:jc w:val="both"/>
      </w:pPr>
      <w:proofErr w:type="spellStart"/>
      <w:r w:rsidRPr="003663FF">
        <w:t>The</w:t>
      </w:r>
      <w:proofErr w:type="spellEnd"/>
      <w:r w:rsidRPr="003663FF">
        <w:t xml:space="preserve"> social </w:t>
      </w:r>
      <w:proofErr w:type="spellStart"/>
      <w:r w:rsidRPr="003663FF">
        <w:t>question</w:t>
      </w:r>
      <w:proofErr w:type="spellEnd"/>
      <w:r w:rsidRPr="003663FF">
        <w:t>, por ejemplo, dio expresión a las preocupaciones de reformadores protestantes con el desorden moral que se percibía en los nuevos centros urbanos (</w:t>
      </w:r>
      <w:proofErr w:type="spellStart"/>
      <w:r w:rsidRPr="003663FF">
        <w:t>Rodgers</w:t>
      </w:r>
      <w:proofErr w:type="spellEnd"/>
      <w:r w:rsidRPr="003663FF">
        <w:t xml:space="preserve">, 1998, p. 65). </w:t>
      </w:r>
      <w:r>
        <w:t xml:space="preserve">Y como éste hubo otros esfuerzos internacionales, desde el ámbito religioso protestante, </w:t>
      </w:r>
      <w:r w:rsidRPr="003663FF">
        <w:t>para cambiar las condiciones de la ciudad que también cambiaran a las personas.</w:t>
      </w:r>
    </w:p>
    <w:p w:rsidR="003663FF" w:rsidRDefault="003663FF" w:rsidP="003663FF">
      <w:pPr>
        <w:spacing w:after="0" w:line="240" w:lineRule="auto"/>
        <w:ind w:left="-567" w:right="-660"/>
        <w:jc w:val="both"/>
      </w:pPr>
      <w:r w:rsidRPr="003663FF">
        <w:t>El currículum y las nuevas ciencias de la pedagogía estadounidense relacionaban los estándares rectores de la sociedad y sus principios de pertenencia colectiva con el pensamiento de dominio interno y las experiencias de la vida diaria de los individuos.</w:t>
      </w:r>
      <w:r>
        <w:t xml:space="preserve"> </w:t>
      </w:r>
      <w:r w:rsidRPr="003663FF">
        <w:t>La educación del niño garantizaría la redención de la sociedad.</w:t>
      </w:r>
    </w:p>
    <w:p w:rsidR="003663FF" w:rsidRDefault="003663FF" w:rsidP="003663FF">
      <w:pPr>
        <w:spacing w:after="0" w:line="240" w:lineRule="auto"/>
        <w:ind w:left="-567" w:right="-660"/>
        <w:jc w:val="both"/>
      </w:pPr>
      <w:r>
        <w:t>E</w:t>
      </w:r>
      <w:r w:rsidRPr="003663FF">
        <w:t>xiste una estrecha relación entre el cambio de las prácticas discursivas pedagógicas, los cambios en las concepciones de los procesos laborales, y los cambios en las presunciones acerca del individuo y el estado.</w:t>
      </w:r>
    </w:p>
    <w:p w:rsidR="003663FF" w:rsidRDefault="003663FF" w:rsidP="003663FF">
      <w:pPr>
        <w:spacing w:after="0" w:line="240" w:lineRule="auto"/>
        <w:ind w:left="-567" w:right="-660"/>
        <w:jc w:val="both"/>
      </w:pPr>
      <w:r w:rsidRPr="003663FF">
        <w:t>Las nuevas psicologías del desarrollo del niño plantearon distinciones y diferencias que regularían no solo la información sino también lo que era y sería el niño. La pedagogía tuvo fe en el individuo racional como lugar de cambio.</w:t>
      </w:r>
    </w:p>
    <w:p w:rsidR="003663FF" w:rsidRDefault="003663FF" w:rsidP="00707701">
      <w:pPr>
        <w:spacing w:after="0" w:line="240" w:lineRule="auto"/>
        <w:ind w:left="-567" w:right="-660"/>
        <w:jc w:val="both"/>
      </w:pP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2. LA CIENCIA COMO MÉTODO PARA PLANIFICAR LA NUEVA SOCIEDAD Y COMO UNA TESIS CULTURAL ACERCA DE LOS MODOS DE VIDA COTIDIANOS</w:t>
      </w:r>
    </w:p>
    <w:p w:rsidR="00707701" w:rsidRDefault="003663FF" w:rsidP="00707701">
      <w:pPr>
        <w:spacing w:after="0" w:line="240" w:lineRule="auto"/>
        <w:ind w:left="-567" w:right="-660"/>
        <w:jc w:val="both"/>
      </w:pPr>
      <w:r w:rsidRPr="003663FF">
        <w:t>Los discursos de la ciencia se inscribieron en las nuevas pedagogías (</w:t>
      </w:r>
      <w:proofErr w:type="spellStart"/>
      <w:r w:rsidRPr="003663FF">
        <w:t>Popkewitz</w:t>
      </w:r>
      <w:proofErr w:type="spellEnd"/>
      <w:r w:rsidRPr="003663FF">
        <w:t>, 1991). La ciencia fue vista como parte del legado de la Ilustración en el que se conseguía el progreso. Las ciencias sociales, como las ciencias físicas a la hora de organizar el dominio del mundo natural, describirían, explicarían y conducirían la solución de los “problemas sociales”.</w:t>
      </w:r>
    </w:p>
    <w:p w:rsidR="003663FF" w:rsidRDefault="003663FF" w:rsidP="00707701">
      <w:pPr>
        <w:spacing w:after="0" w:line="240" w:lineRule="auto"/>
        <w:ind w:left="-567" w:right="-660"/>
        <w:jc w:val="both"/>
      </w:pPr>
      <w:r w:rsidRPr="003663FF">
        <w:t>La fe en las ciencias se basaba en una creencia milenaria en el conocimiento racional como una fuerza positiva de acción</w:t>
      </w:r>
      <w:r>
        <w:t>. L</w:t>
      </w:r>
      <w:r w:rsidRPr="003663FF">
        <w:t>os progresistas buscaban rescatar a aquellos que sufrían o que habían caído de la gracia en el debilitamiento de las cualidades de la ciudad y cambiar su forma de vida.</w:t>
      </w:r>
    </w:p>
    <w:p w:rsidR="00F71AC5" w:rsidRDefault="00F71AC5" w:rsidP="00707701">
      <w:pPr>
        <w:spacing w:after="0" w:line="240" w:lineRule="auto"/>
        <w:ind w:left="-567" w:right="-660"/>
        <w:jc w:val="both"/>
      </w:pPr>
      <w:r w:rsidRPr="00F71AC5">
        <w:t xml:space="preserve">Los protestantes elitistas consideraban que las ciencias sociales, por ejemplo, podrían contraatacar la desintegración del orden moral en la vida urbana. La ciencia identificaría las causas del alcoholismo, la </w:t>
      </w:r>
      <w:r w:rsidRPr="00F71AC5">
        <w:lastRenderedPageBreak/>
        <w:t>delincuencia, la prostitución, entre otras prácticas, de las cuales se podrían crear intervenciones para corregir las normas disfuncionales y rectificar las condiciones sociales.</w:t>
      </w:r>
    </w:p>
    <w:p w:rsidR="00F71AC5" w:rsidRDefault="00F71AC5" w:rsidP="00707701">
      <w:pPr>
        <w:spacing w:after="0" w:line="240" w:lineRule="auto"/>
        <w:ind w:left="-567" w:right="-660"/>
        <w:jc w:val="both"/>
      </w:pPr>
      <w:r w:rsidRPr="00F71AC5">
        <w:t>La ciencia tuvo dos trayectorias diferentes en la planificación social.</w:t>
      </w:r>
      <w:r>
        <w:t xml:space="preserve"> </w:t>
      </w:r>
      <w:r w:rsidRPr="00F71AC5">
        <w:t>Una fue el dominio prometido para calcular y cambiar las condiciones de la vida social</w:t>
      </w:r>
      <w:r>
        <w:t xml:space="preserve"> (</w:t>
      </w:r>
      <w:r w:rsidRPr="00F71AC5">
        <w:t>estudios sobre la planificación urbana, las condiciones de salud y laborales</w:t>
      </w:r>
      <w:r>
        <w:t>)</w:t>
      </w:r>
      <w:r w:rsidRPr="00F71AC5">
        <w:t>.</w:t>
      </w:r>
      <w:r>
        <w:t xml:space="preserve"> </w:t>
      </w:r>
      <w:r w:rsidRPr="00F71AC5">
        <w:t>En segundo lugar, la ciencia fue una forma de organizar y planificar la vida diaria.</w:t>
      </w:r>
      <w:r w:rsidR="003D2A15" w:rsidRPr="003D2A15">
        <w:t xml:space="preserve"> Las teorías de la familia y el desarrollo del niño prestaron atención a tesis culturales para la ordenación y constitución de la experiencia, la reflexión y la acción en la vida diaria</w:t>
      </w:r>
      <w:r w:rsidR="003D2A15">
        <w:t>.</w:t>
      </w:r>
    </w:p>
    <w:p w:rsidR="003D2A15" w:rsidRDefault="003D2A15" w:rsidP="00707701">
      <w:pPr>
        <w:spacing w:after="0" w:line="240" w:lineRule="auto"/>
        <w:ind w:left="-567" w:right="-660"/>
        <w:jc w:val="both"/>
      </w:pPr>
      <w:r w:rsidRPr="003D2A15">
        <w:t>Los modos de vida “científicos” organizaron dispositivos para la selección de asignaturas escolares</w:t>
      </w:r>
      <w:r w:rsidR="00256642">
        <w:t>,</w:t>
      </w:r>
      <w:r w:rsidR="00256642" w:rsidRPr="00256642">
        <w:t xml:space="preserve"> pero la selección y la organización del conocimiento se ajustaban y servía a propósitos psicológicos para el desarrollo y el aprendizaje del niño.</w:t>
      </w:r>
      <w:r w:rsidR="00256642">
        <w:t xml:space="preserve"> De este modo se determinó el currículum, su conocimiento  su operatividad.</w:t>
      </w:r>
    </w:p>
    <w:p w:rsidR="00256642" w:rsidRDefault="00256642" w:rsidP="00707701">
      <w:pPr>
        <w:spacing w:after="0" w:line="240" w:lineRule="auto"/>
        <w:ind w:left="-567" w:right="-660"/>
        <w:jc w:val="both"/>
      </w:pPr>
      <w:r w:rsidRPr="00256642">
        <w:t xml:space="preserve">Las ciencias domésticas y las pedagogías de las escuelas transportaron los temas pasados acerca de la salvación a la narrativa del </w:t>
      </w:r>
      <w:proofErr w:type="spellStart"/>
      <w:r w:rsidRPr="00256642">
        <w:t>excepcionalismo</w:t>
      </w:r>
      <w:proofErr w:type="spellEnd"/>
      <w:r w:rsidRPr="00256642">
        <w:t xml:space="preserve"> estadounidense, una narrativa de la nación como Pueblo Elegido cuya visión de la ilustración ubicaba a la nación y a sus ciudadanos como un experimento humano único para dirigir la civilización</w:t>
      </w:r>
      <w:r>
        <w:t xml:space="preserve"> </w:t>
      </w:r>
      <w:r w:rsidRPr="00256642">
        <w:t>hacia los ideales más altos de valor y progreso humanos</w:t>
      </w:r>
      <w:r>
        <w:t>. (Doctrina del destino manifiesto).</w:t>
      </w:r>
    </w:p>
    <w:p w:rsidR="00256642" w:rsidRDefault="00256642" w:rsidP="00707701">
      <w:pPr>
        <w:spacing w:after="0" w:line="240" w:lineRule="auto"/>
        <w:ind w:left="-567" w:right="-660"/>
        <w:jc w:val="both"/>
      </w:pPr>
      <w:r>
        <w:t>L</w:t>
      </w:r>
      <w:r w:rsidRPr="00256642">
        <w:t>a incorporación del Darwinismo Social</w:t>
      </w:r>
      <w:r>
        <w:t xml:space="preserve">: </w:t>
      </w:r>
      <w:proofErr w:type="spellStart"/>
      <w:r w:rsidRPr="00256642">
        <w:t>Cooley</w:t>
      </w:r>
      <w:proofErr w:type="spellEnd"/>
      <w:r w:rsidRPr="00256642">
        <w:t xml:space="preserve"> (1909) vio a los Estados Unidos tal vez como “más cercano al espíritu del nuevo orden” (p. 167), que es completamente diferente a todo lo anterior “ya que este da un mayor énfasis a la individualidad y la innovación y no es heredero de la cultura de clases de Europa”</w:t>
      </w:r>
      <w:r w:rsidR="00405D03">
        <w:t>.</w:t>
      </w:r>
    </w:p>
    <w:p w:rsidR="00405D03" w:rsidRDefault="00405D03" w:rsidP="00707701">
      <w:pPr>
        <w:spacing w:after="0" w:line="240" w:lineRule="auto"/>
        <w:ind w:left="-567" w:right="-660"/>
        <w:jc w:val="both"/>
      </w:pPr>
      <w:r w:rsidRPr="00405D03">
        <w:t>La esperanza por el futuro llevaba consigo una desestabilización del pasado. Se temía a las tradiciones antiguas, para ser desechadas y otras nuevas i</w:t>
      </w:r>
      <w:r>
        <w:t>nstaladas de forma que el futuro</w:t>
      </w:r>
      <w:r w:rsidRPr="00405D03">
        <w:t>, según Dewey, no tendría un sistema de instituciones religiosas y civiles autoritarias, además de ninguna clase impuesta e institución antigua.</w:t>
      </w:r>
      <w:r>
        <w:t xml:space="preserve"> </w:t>
      </w:r>
      <w:r w:rsidRPr="00405D03">
        <w:t>El desmantelamiento de lo antiguo y la inscripción del futuro encarnaron una individualidad cosmopolita en la que la acción inteligente y el voluntarismo para la solución de problemas contribuyeron a la configuración del carácter nacional</w:t>
      </w:r>
      <w:r>
        <w:t xml:space="preserve"> (estadounidense)</w:t>
      </w:r>
      <w:r w:rsidRPr="00405D03">
        <w:t>.</w:t>
      </w:r>
    </w:p>
    <w:p w:rsidR="00405D03" w:rsidRDefault="00405D03" w:rsidP="00707701">
      <w:pPr>
        <w:spacing w:after="0" w:line="240" w:lineRule="auto"/>
        <w:ind w:left="-567" w:right="-660"/>
        <w:jc w:val="both"/>
      </w:pPr>
      <w:r w:rsidRPr="00405D03">
        <w:t>La desestabilización del pasado y la construcción del futuro representaron tesis culturales para la organización de la vida diaria.</w:t>
      </w:r>
      <w:r>
        <w:t xml:space="preserve"> Dewey y Thorndike, con sus </w:t>
      </w:r>
      <w:r w:rsidRPr="00405D03">
        <w:t>ciencias d</w:t>
      </w:r>
      <w:r>
        <w:t>e la educación, contribuyen a la educación progresiva de</w:t>
      </w:r>
      <w:r w:rsidRPr="00405D03">
        <w:t xml:space="preserve"> la tradición de la Ilustración. Cada uno vio a la ciencia como un agente social vi</w:t>
      </w:r>
      <w:r>
        <w:t xml:space="preserve">tal y útil en la realización </w:t>
      </w:r>
      <w:r w:rsidRPr="00405D03">
        <w:t>de una sociedad progresista.</w:t>
      </w:r>
      <w:r>
        <w:t xml:space="preserve"> </w:t>
      </w:r>
      <w:r w:rsidRPr="00405D03">
        <w:t>El pragmatismo de Dewey fue un proyecto diseñado para el individuo que conscientemente desplegara el poder creativo de las ciencias en la vi</w:t>
      </w:r>
      <w:r>
        <w:t>da diaria. En contraste</w:t>
      </w:r>
      <w:r w:rsidRPr="00405D03">
        <w:t>, la ciencia de Thorndike expondría lo que era natural e innato en el niño para producir una sociedad más humana y un orden más moral.</w:t>
      </w:r>
    </w:p>
    <w:p w:rsidR="00F71AC5" w:rsidRDefault="00F71AC5" w:rsidP="00707701">
      <w:pPr>
        <w:spacing w:after="0" w:line="240" w:lineRule="auto"/>
        <w:ind w:left="-567" w:right="-660"/>
        <w:jc w:val="both"/>
      </w:pP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3. LA PLANIFICACIÓN DE LA FAMILIA Y DE LA COMUNIDAD COMO MODOS DE LA VIDA “MODERNA”</w:t>
      </w:r>
    </w:p>
    <w:p w:rsidR="00707701" w:rsidRDefault="00405D03" w:rsidP="00707701">
      <w:pPr>
        <w:spacing w:after="0" w:line="240" w:lineRule="auto"/>
        <w:ind w:left="-567" w:right="-660"/>
        <w:jc w:val="both"/>
      </w:pPr>
      <w:r w:rsidRPr="00405D03">
        <w:t>Las nuevas disciplinas de sociología y psicología fueron tecnologías instrumentales en la reforma de la familia y la niñez</w:t>
      </w:r>
      <w:r w:rsidR="006A144D">
        <w:t>.</w:t>
      </w:r>
      <w:r w:rsidR="006A144D" w:rsidRPr="006A144D">
        <w:t xml:space="preserve"> La familia fue una práctica administrativa que trajo amor y simpatía al mundo industrial. La imagen de la familia fue el más temprano y el lugar más inmediato para el paradigma de la </w:t>
      </w:r>
      <w:proofErr w:type="spellStart"/>
      <w:r w:rsidR="006A144D" w:rsidRPr="006A144D">
        <w:t>autoadaptación</w:t>
      </w:r>
      <w:proofErr w:type="spellEnd"/>
      <w:r w:rsidR="006A144D" w:rsidRPr="006A144D">
        <w:t xml:space="preserve"> de la cultura y el vínculo de la individualidad a la pertenencia colectiva y al “hogar”</w:t>
      </w:r>
      <w:r w:rsidR="006A144D">
        <w:t>.</w:t>
      </w:r>
    </w:p>
    <w:p w:rsidR="006A144D" w:rsidRDefault="006A144D" w:rsidP="00707701">
      <w:pPr>
        <w:spacing w:after="0" w:line="240" w:lineRule="auto"/>
        <w:ind w:left="-567" w:right="-660"/>
        <w:jc w:val="both"/>
      </w:pPr>
      <w:r w:rsidRPr="006A144D">
        <w:t>La tesis cultural de los modos de vida se expresaron mediante la noción de comunidad</w:t>
      </w:r>
      <w:r>
        <w:t xml:space="preserve">. </w:t>
      </w:r>
      <w:r w:rsidRPr="006A144D">
        <w:t>La noción de comunidad tomó y se adaptó a partir de teorías sociales alemanas sobre la caída y la resurrección de la ciudad como un centro cultural, de pertenencia y de hogar</w:t>
      </w:r>
      <w:r>
        <w:t xml:space="preserve">. </w:t>
      </w:r>
      <w:r w:rsidRPr="006A144D">
        <w:t xml:space="preserve">El sociólogo alemán </w:t>
      </w:r>
      <w:proofErr w:type="spellStart"/>
      <w:r w:rsidRPr="006A144D">
        <w:t>Tönnies</w:t>
      </w:r>
      <w:proofErr w:type="spellEnd"/>
      <w:r w:rsidRPr="006A144D">
        <w:t xml:space="preserve"> (1887/1957) contrastó la palabra pastoral simbolizada en la noción de comunidad (</w:t>
      </w:r>
      <w:proofErr w:type="spellStart"/>
      <w:r w:rsidRPr="006A144D">
        <w:t>Gemeinschaft</w:t>
      </w:r>
      <w:proofErr w:type="spellEnd"/>
      <w:r w:rsidRPr="006A144D">
        <w:t>) con la modernidad como expresada en la noción de sociedad (</w:t>
      </w:r>
      <w:proofErr w:type="spellStart"/>
      <w:r w:rsidRPr="006A144D">
        <w:t>Gesellschaft</w:t>
      </w:r>
      <w:proofErr w:type="spellEnd"/>
      <w:r w:rsidRPr="006A144D">
        <w:t>).</w:t>
      </w:r>
    </w:p>
    <w:p w:rsidR="00AE5C6F" w:rsidRDefault="00AE5C6F" w:rsidP="00707701">
      <w:pPr>
        <w:spacing w:after="0" w:line="240" w:lineRule="auto"/>
        <w:ind w:left="-567" w:right="-660"/>
        <w:jc w:val="both"/>
      </w:pPr>
      <w:r w:rsidRPr="00AE5C6F">
        <w:t xml:space="preserve">Las ciencias psicológicas y sociales reinscribieron la imagen pastoral del </w:t>
      </w:r>
      <w:proofErr w:type="spellStart"/>
      <w:r w:rsidRPr="00AE5C6F">
        <w:t>Gemeinschaft</w:t>
      </w:r>
      <w:proofErr w:type="spellEnd"/>
      <w:r w:rsidRPr="00AE5C6F">
        <w:t xml:space="preserve"> en el diseño de la vida urbana</w:t>
      </w:r>
      <w:r>
        <w:t xml:space="preserve">. </w:t>
      </w:r>
      <w:r w:rsidRPr="00AE5C6F">
        <w:t>Los estudios del adolescente de Stanley Hall (1893/1924) fueron una estrategia para reconciliar la fe y la razón: la creencia cristiana y el “empirismo de la Ilustración” en la construcción de la sociedad estadounidense. La sociología y la psicología social de comunidad de la Universidad de Chicago representaban tesis culturales para reconfigurar los modos de vida para que los emigrantes y las familias de los afro-estadounidenses participaran en la ciudad</w:t>
      </w:r>
      <w:r>
        <w:t>.</w:t>
      </w:r>
      <w:r w:rsidRPr="00AE5C6F">
        <w:t xml:space="preserve"> El grupo primario fue una herramienta intelectual para vincular relaciones de cara a cara con la comunidad (</w:t>
      </w:r>
      <w:proofErr w:type="spellStart"/>
      <w:r w:rsidRPr="00AE5C6F">
        <w:t>Gemeinschaft</w:t>
      </w:r>
      <w:proofErr w:type="spellEnd"/>
      <w:r w:rsidRPr="00AE5C6F">
        <w:t>) con las condiciones de la modernidad (</w:t>
      </w:r>
      <w:proofErr w:type="spellStart"/>
      <w:r w:rsidRPr="00AE5C6F">
        <w:t>Gesellschaft</w:t>
      </w:r>
      <w:proofErr w:type="spellEnd"/>
      <w:r w:rsidRPr="00AE5C6F">
        <w:t>)</w:t>
      </w:r>
      <w:r>
        <w:t xml:space="preserve">. </w:t>
      </w:r>
      <w:proofErr w:type="spellStart"/>
      <w:r w:rsidRPr="00AE5C6F">
        <w:t>Cooley</w:t>
      </w:r>
      <w:proofErr w:type="spellEnd"/>
      <w:r w:rsidRPr="00AE5C6F">
        <w:t xml:space="preserve"> (1909) </w:t>
      </w:r>
      <w:r w:rsidRPr="00AE5C6F">
        <w:lastRenderedPageBreak/>
        <w:t>concibió a la familia como un grupo primario en el que el niño aprende de la civilización por medio de la interacción cara a cara</w:t>
      </w:r>
      <w:r>
        <w:t xml:space="preserve">. </w:t>
      </w:r>
      <w:r w:rsidRPr="00AE5C6F">
        <w:t xml:space="preserve">Los sistemas de comunicación de la familia según </w:t>
      </w:r>
      <w:proofErr w:type="spellStart"/>
      <w:r w:rsidRPr="00AE5C6F">
        <w:t>Cooley</w:t>
      </w:r>
      <w:proofErr w:type="spellEnd"/>
      <w:r w:rsidRPr="00AE5C6F">
        <w:t xml:space="preserve"> establecen principios cristianos que intensifican el imperativo moral de la vida y el auto sacrificio por el bien del grupo. Este consideraba que una socialización apropiada por parte de la familia y el vecindario podrían capacitar al niño en la pérdida de la avaricia, la lujuria, y el orgullo de poder que eran innatos a los niños, y por lo tanto prepararlo para la sociedad civilizada.</w:t>
      </w:r>
    </w:p>
    <w:p w:rsidR="00F63397" w:rsidRDefault="00AE5C6F" w:rsidP="00707701">
      <w:pPr>
        <w:spacing w:after="0" w:line="240" w:lineRule="auto"/>
        <w:ind w:left="-567" w:right="-660"/>
        <w:jc w:val="both"/>
      </w:pPr>
      <w:r w:rsidRPr="00AE5C6F">
        <w:t>La comunidad y el grupo primario fueron nociones centrales por medio de las cuales los dominios del pensamiento moral de la comunidad “perdido” en la urbanización y la industrialización se reinscribirían en la vida social urbana</w:t>
      </w:r>
      <w:r>
        <w:t xml:space="preserve">. </w:t>
      </w:r>
    </w:p>
    <w:p w:rsidR="00AE5C6F" w:rsidRDefault="00AE5C6F" w:rsidP="00707701">
      <w:pPr>
        <w:spacing w:after="0" w:line="240" w:lineRule="auto"/>
        <w:ind w:left="-567" w:right="-660"/>
        <w:jc w:val="both"/>
      </w:pPr>
      <w:r w:rsidRPr="00AE5C6F">
        <w:t>Las teorías de la niñez, la familia y la comunidad contenían inscripciones para gobernar las vidas individuales, y para llevar a cabo responsabilidades que no solo estaban relacionadas al desarrollo y al crecimiento personal sino también a virtudes públicas estandarizadas.</w:t>
      </w:r>
    </w:p>
    <w:p w:rsidR="00405D03" w:rsidRDefault="00405D03" w:rsidP="00707701">
      <w:pPr>
        <w:spacing w:after="0" w:line="240" w:lineRule="auto"/>
        <w:ind w:left="-567" w:right="-660"/>
        <w:jc w:val="both"/>
      </w:pP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4. LA ESPERANZA DE INCLUSIÓN Y EL MIEDO A LA EXCLUSIÓN</w:t>
      </w:r>
    </w:p>
    <w:p w:rsidR="00707701" w:rsidRDefault="00F63397" w:rsidP="00707701">
      <w:pPr>
        <w:spacing w:after="0" w:line="240" w:lineRule="auto"/>
        <w:ind w:left="-567" w:right="-660"/>
        <w:jc w:val="both"/>
      </w:pPr>
      <w:r w:rsidRPr="00F63397">
        <w:t>Irónicamente, planificar para una nueva sociedad tuvo su lado oscuro en el miedo al orden moral y los peligros del futuro de la sociedad.</w:t>
      </w:r>
      <w:r>
        <w:t xml:space="preserve"> L</w:t>
      </w:r>
      <w:r w:rsidRPr="00F63397">
        <w:t xml:space="preserve">as condiciones </w:t>
      </w:r>
      <w:r>
        <w:t>del cambio buscado inscribiero</w:t>
      </w:r>
      <w:r w:rsidRPr="00F63397">
        <w:t>n un método comparativo para establecer una continuidad de val</w:t>
      </w:r>
      <w:r>
        <w:t>ores que comparaban y dividían</w:t>
      </w:r>
      <w:r w:rsidRPr="00F63397">
        <w:t xml:space="preserve"> las cualidades de aquellos que no participan y no pueden participar en el progreso de la sociedad. El modo comparativo del pensamiento reconoció y diferenció al pobre y separó los grupos por razas dentro del “cuerpo” de la sociedad</w:t>
      </w:r>
      <w:r>
        <w:t xml:space="preserve">. </w:t>
      </w:r>
    </w:p>
    <w:p w:rsidR="00F63397" w:rsidRDefault="00F63397" w:rsidP="00707701">
      <w:pPr>
        <w:spacing w:after="0" w:line="240" w:lineRule="auto"/>
        <w:ind w:left="-567" w:right="-660"/>
        <w:jc w:val="both"/>
      </w:pPr>
      <w:r w:rsidRPr="00F63397">
        <w:t>Las investigaciones trataron de identificar las razones del deterioro moral urbano y se trabajó con el gobierno para hacer reformas efectivas para eliminar los males de la ciudad y purificar a los ciudadanos de sus trasgresiones morales. Estudios, encuestas y etnografías –las herramientas de las nuevas disciplinas de sociología y psicología– describieron las condiciones de la ciudad y la vida diaria de los inmigrantes de Europa del sur y del este, los pobres, y los negros</w:t>
      </w:r>
      <w:r w:rsidR="007513B8">
        <w:t>.</w:t>
      </w:r>
    </w:p>
    <w:p w:rsidR="007513B8" w:rsidRDefault="007513B8" w:rsidP="00707701">
      <w:pPr>
        <w:spacing w:after="0" w:line="240" w:lineRule="auto"/>
        <w:ind w:left="-567" w:right="-660"/>
        <w:jc w:val="both"/>
      </w:pPr>
    </w:p>
    <w:p w:rsidR="00707701" w:rsidRDefault="00707701" w:rsidP="00707701">
      <w:pPr>
        <w:spacing w:after="0" w:line="240" w:lineRule="auto"/>
        <w:ind w:left="-567" w:right="-660"/>
        <w:jc w:val="both"/>
      </w:pPr>
      <w:r w:rsidRPr="00707701">
        <w:t>5. CONCLUSIONES</w:t>
      </w:r>
    </w:p>
    <w:p w:rsidR="007513B8" w:rsidRDefault="007513B8" w:rsidP="00707701">
      <w:pPr>
        <w:spacing w:after="0" w:line="240" w:lineRule="auto"/>
        <w:ind w:left="-567" w:right="-660"/>
        <w:jc w:val="both"/>
      </w:pPr>
      <w:r w:rsidRPr="007513B8">
        <w:t>La producción de la escolarización y sus ciencias no se desarrollaron a partir de un proceso evolutivo. Se acoplaron a través de un flujo discontinuo de hechos, ideas, instituciones y narrativas</w:t>
      </w:r>
      <w:r>
        <w:t>.</w:t>
      </w:r>
      <w:r w:rsidRPr="007513B8">
        <w:t xml:space="preserve"> La urbanización de imágenes pastorales que dieron int</w:t>
      </w:r>
      <w:r>
        <w:t>eligibilidad al orden moral de</w:t>
      </w:r>
      <w:r w:rsidRPr="007513B8">
        <w:t xml:space="preserve">l niño tuvo sentido no solo en la Alemania de </w:t>
      </w:r>
      <w:proofErr w:type="spellStart"/>
      <w:r w:rsidRPr="007513B8">
        <w:t>Tönnies</w:t>
      </w:r>
      <w:proofErr w:type="spellEnd"/>
      <w:r w:rsidRPr="007513B8">
        <w:t xml:space="preserve"> sino en otros sitios durante la transformación trasatlántica.</w:t>
      </w:r>
    </w:p>
    <w:p w:rsidR="007513B8" w:rsidRDefault="003E6CFA" w:rsidP="00707701">
      <w:pPr>
        <w:spacing w:after="0" w:line="240" w:lineRule="auto"/>
        <w:ind w:left="-567" w:right="-660"/>
        <w:jc w:val="both"/>
      </w:pPr>
      <w:r>
        <w:t>Este ensayo considera</w:t>
      </w:r>
      <w:r w:rsidR="007513B8" w:rsidRPr="007513B8">
        <w:t xml:space="preserve"> a la educación como una planificación para el cambio de las condiciones de las personas que cambian a las personas. Esta polític</w:t>
      </w:r>
      <w:r>
        <w:t>a de la educación es</w:t>
      </w:r>
      <w:r w:rsidR="007513B8" w:rsidRPr="007513B8">
        <w:t>, en esta planificación social</w:t>
      </w:r>
      <w:r>
        <w:t>,</w:t>
      </w:r>
      <w:r w:rsidR="007513B8" w:rsidRPr="007513B8">
        <w:t xml:space="preserve"> la razón de los modos comparativos y personales que diferencian la individualidad en un conjunto global de cambios que hacen posible la pedagogía moderna y las nociones de la niñez. Representados en la educación se encontraban tesis culturales sobre los modos de vida. Las tesis culturales en pedagogía representan los valores y las normas sobre la esperanza para el futuro de la nación a partir de la educación del niño; y con esta esperanza también se reconocieron y se produjeron diferencias. Las esperanzas y los temores se vieron representados en principios que diferenciaban las cualidades de lo cosmopolita del niño de las poblaciones que no llenaban estas cualidades y que por lo tanto nunca podrían ser “de la media”</w:t>
      </w:r>
      <w:r>
        <w:t>.</w:t>
      </w:r>
    </w:p>
    <w:p w:rsidR="003E6CFA" w:rsidRDefault="003E6CFA" w:rsidP="00707701">
      <w:pPr>
        <w:spacing w:after="0" w:line="240" w:lineRule="auto"/>
        <w:ind w:left="-567" w:right="-660"/>
        <w:jc w:val="both"/>
      </w:pPr>
      <w:bookmarkStart w:id="0" w:name="_GoBack"/>
      <w:bookmarkEnd w:id="0"/>
    </w:p>
    <w:p w:rsidR="003E6CFA" w:rsidRDefault="003E6CFA" w:rsidP="00707701">
      <w:pPr>
        <w:spacing w:after="0" w:line="240" w:lineRule="auto"/>
        <w:ind w:left="-567" w:right="-660"/>
        <w:jc w:val="both"/>
      </w:pPr>
    </w:p>
    <w:sectPr w:rsidR="003E6C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701"/>
    <w:rsid w:val="00256642"/>
    <w:rsid w:val="00354971"/>
    <w:rsid w:val="003663FF"/>
    <w:rsid w:val="003D2A15"/>
    <w:rsid w:val="003E6CFA"/>
    <w:rsid w:val="00405D03"/>
    <w:rsid w:val="006A144D"/>
    <w:rsid w:val="00707701"/>
    <w:rsid w:val="007513B8"/>
    <w:rsid w:val="00AE5C6F"/>
    <w:rsid w:val="00BA3AD8"/>
    <w:rsid w:val="00C6742D"/>
    <w:rsid w:val="00F63397"/>
    <w:rsid w:val="00F7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1876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UpsyE</dc:creator>
  <cp:lastModifiedBy>UpsyE</cp:lastModifiedBy>
  <cp:revision>2</cp:revision>
  <dcterms:created xsi:type="dcterms:W3CDTF">2017-09-05T15:30:00Z</dcterms:created>
  <dcterms:modified xsi:type="dcterms:W3CDTF">2017-09-05T18:26:00Z</dcterms:modified>
</cp:coreProperties>
</file>